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margin" w:tblpY="914"/>
        <w:tblW w:w="0" w:type="auto"/>
        <w:tblLook w:val="04A0" w:firstRow="1" w:lastRow="0" w:firstColumn="1" w:lastColumn="0" w:noHBand="0" w:noVBand="1"/>
      </w:tblPr>
      <w:tblGrid>
        <w:gridCol w:w="2259"/>
        <w:gridCol w:w="2354"/>
        <w:gridCol w:w="1986"/>
        <w:gridCol w:w="2463"/>
      </w:tblGrid>
      <w:tr w:rsidR="005611C6" w:rsidRPr="004529BA" w14:paraId="355BB933" w14:textId="77777777" w:rsidTr="005611C6">
        <w:tc>
          <w:tcPr>
            <w:tcW w:w="2259" w:type="dxa"/>
          </w:tcPr>
          <w:p w14:paraId="73541EBB" w14:textId="77777777" w:rsidR="005611C6" w:rsidRPr="004529BA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>Betroffene TI-Komponente</w:t>
            </w:r>
          </w:p>
        </w:tc>
        <w:tc>
          <w:tcPr>
            <w:tcW w:w="2354" w:type="dxa"/>
          </w:tcPr>
          <w:p w14:paraId="7D2BDFFE" w14:textId="77777777" w:rsidR="005611C6" w:rsidRPr="004529BA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 xml:space="preserve">Woran erkenne ich einen nötigen Austausch? </w:t>
            </w:r>
          </w:p>
        </w:tc>
        <w:tc>
          <w:tcPr>
            <w:tcW w:w="1986" w:type="dxa"/>
          </w:tcPr>
          <w:p w14:paraId="173D216A" w14:textId="77777777" w:rsidR="005611C6" w:rsidRPr="004529BA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>Bis wann muss der Austausch umgesetzt sein?</w:t>
            </w:r>
          </w:p>
        </w:tc>
        <w:tc>
          <w:tcPr>
            <w:tcW w:w="2463" w:type="dxa"/>
          </w:tcPr>
          <w:p w14:paraId="1F37A904" w14:textId="77777777" w:rsidR="005611C6" w:rsidRPr="004529BA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>Welche Auswirkung hat ein Funktionsverlust?</w:t>
            </w:r>
          </w:p>
        </w:tc>
      </w:tr>
      <w:tr w:rsidR="005611C6" w:rsidRPr="004529BA" w14:paraId="04416487" w14:textId="77777777" w:rsidTr="00DC7EEA">
        <w:tc>
          <w:tcPr>
            <w:tcW w:w="2259" w:type="dxa"/>
          </w:tcPr>
          <w:p w14:paraId="1ADC9C97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1C701623" w14:textId="7C89A13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>eHBA</w:t>
            </w:r>
            <w:r w:rsidRPr="004529BA">
              <w:rPr>
                <w:rFonts w:cs="Arial"/>
                <w:szCs w:val="20"/>
              </w:rPr>
              <w:t xml:space="preserve"> (elektronischer Zahnarztausweis mit Chip) </w:t>
            </w:r>
            <w:r w:rsidR="00DC7EEA">
              <w:rPr>
                <w:rFonts w:cs="Arial"/>
                <w:szCs w:val="20"/>
              </w:rPr>
              <w:br/>
            </w:r>
          </w:p>
        </w:tc>
        <w:tc>
          <w:tcPr>
            <w:tcW w:w="2354" w:type="dxa"/>
          </w:tcPr>
          <w:p w14:paraId="130E08EC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1C78EECC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 xml:space="preserve">Bezeichnung „G2.0“ auf Kartenrückseite, </w:t>
            </w:r>
            <w:r w:rsidRPr="004529BA">
              <w:rPr>
                <w:rFonts w:cs="Arial"/>
                <w:b/>
                <w:bCs/>
                <w:szCs w:val="20"/>
              </w:rPr>
              <w:t>unabhängig</w:t>
            </w:r>
            <w:r w:rsidRPr="004529BA">
              <w:rPr>
                <w:rFonts w:cs="Arial"/>
                <w:szCs w:val="20"/>
              </w:rPr>
              <w:t xml:space="preserve"> zur Kartengültigkeit</w:t>
            </w:r>
          </w:p>
        </w:tc>
        <w:tc>
          <w:tcPr>
            <w:tcW w:w="1986" w:type="dxa"/>
          </w:tcPr>
          <w:p w14:paraId="666DD043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1DDB9779" w14:textId="0B899AD9" w:rsidR="005611C6" w:rsidRPr="00123439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123439">
              <w:rPr>
                <w:rFonts w:cs="Arial"/>
                <w:b/>
                <w:bCs/>
                <w:szCs w:val="20"/>
              </w:rPr>
              <w:t>30.06.2026</w:t>
            </w:r>
            <w:r w:rsidR="00DC7EEA">
              <w:rPr>
                <w:rFonts w:cs="Arial"/>
                <w:b/>
                <w:bCs/>
                <w:szCs w:val="20"/>
              </w:rPr>
              <w:t>*</w:t>
            </w:r>
          </w:p>
        </w:tc>
        <w:tc>
          <w:tcPr>
            <w:tcW w:w="2463" w:type="dxa"/>
          </w:tcPr>
          <w:p w14:paraId="0C4EBD79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43C78D7E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Funktionsverlust der</w:t>
            </w:r>
          </w:p>
          <w:p w14:paraId="598C0000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Signatur für EBZ, eAU, eRezept</w:t>
            </w:r>
          </w:p>
          <w:p w14:paraId="6AE8E90C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</w:tr>
      <w:tr w:rsidR="005611C6" w:rsidRPr="004529BA" w14:paraId="461023D9" w14:textId="77777777" w:rsidTr="005611C6">
        <w:tc>
          <w:tcPr>
            <w:tcW w:w="2259" w:type="dxa"/>
          </w:tcPr>
          <w:p w14:paraId="5BBA4990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14A4EDD6" w14:textId="77777777" w:rsidR="005611C6" w:rsidRPr="004529BA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>SMC-B</w:t>
            </w:r>
          </w:p>
          <w:p w14:paraId="1644DA06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(Praxisausweis)</w:t>
            </w:r>
          </w:p>
          <w:p w14:paraId="6A6CE341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  <w:tc>
          <w:tcPr>
            <w:tcW w:w="2354" w:type="dxa"/>
          </w:tcPr>
          <w:p w14:paraId="6E5734F7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2297C757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G2.0 Bezeichnung /</w:t>
            </w:r>
          </w:p>
          <w:p w14:paraId="33C725C1" w14:textId="77777777" w:rsidR="005611C6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Anzeige in PVS: „SMC-B-Zertifikat nicht ECC-fähig“ / Ankündigung</w:t>
            </w:r>
            <w:r w:rsidRPr="004529BA" w:rsidDel="00BF62C7">
              <w:rPr>
                <w:rFonts w:cs="Arial"/>
                <w:szCs w:val="20"/>
              </w:rPr>
              <w:t xml:space="preserve"> </w:t>
            </w:r>
            <w:r w:rsidRPr="004529BA">
              <w:rPr>
                <w:rFonts w:cs="Arial"/>
                <w:szCs w:val="20"/>
              </w:rPr>
              <w:t>des Kartenanbieters</w:t>
            </w:r>
          </w:p>
          <w:p w14:paraId="7A002C16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  <w:tc>
          <w:tcPr>
            <w:tcW w:w="1986" w:type="dxa"/>
          </w:tcPr>
          <w:p w14:paraId="73A83310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16BBDC62" w14:textId="39063540" w:rsidR="005611C6" w:rsidRPr="00123439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123439">
              <w:rPr>
                <w:rFonts w:cs="Arial"/>
                <w:b/>
                <w:bCs/>
                <w:szCs w:val="20"/>
              </w:rPr>
              <w:t>30.06.2026</w:t>
            </w:r>
            <w:r w:rsidR="00DC7EEA">
              <w:rPr>
                <w:rFonts w:cs="Arial"/>
                <w:b/>
                <w:bCs/>
                <w:szCs w:val="20"/>
              </w:rPr>
              <w:t>*</w:t>
            </w:r>
          </w:p>
          <w:p w14:paraId="400260E9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  <w:tc>
          <w:tcPr>
            <w:tcW w:w="2463" w:type="dxa"/>
          </w:tcPr>
          <w:p w14:paraId="364CA529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3568D98E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Funktionsverlust zum Zugang TI und Nutzung der TI-Anwendungen</w:t>
            </w:r>
          </w:p>
          <w:p w14:paraId="126EF741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</w:tr>
      <w:tr w:rsidR="005611C6" w:rsidRPr="004529BA" w14:paraId="542F9346" w14:textId="77777777" w:rsidTr="005611C6">
        <w:tc>
          <w:tcPr>
            <w:tcW w:w="2259" w:type="dxa"/>
          </w:tcPr>
          <w:p w14:paraId="743C0E40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3EFBA5F6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b/>
                <w:bCs/>
                <w:szCs w:val="20"/>
              </w:rPr>
              <w:t>Geräte-SIM-Karte</w:t>
            </w:r>
            <w:r w:rsidRPr="004529BA">
              <w:rPr>
                <w:rFonts w:cs="Arial"/>
                <w:szCs w:val="20"/>
              </w:rPr>
              <w:t xml:space="preserve"> des stationären Kartenterminals (</w:t>
            </w:r>
            <w:r w:rsidRPr="004529BA">
              <w:rPr>
                <w:rFonts w:cs="Arial"/>
                <w:b/>
                <w:bCs/>
                <w:szCs w:val="20"/>
              </w:rPr>
              <w:t>gSMC-KT</w:t>
            </w:r>
            <w:r w:rsidRPr="004529BA">
              <w:rPr>
                <w:rFonts w:cs="Arial"/>
                <w:szCs w:val="20"/>
              </w:rPr>
              <w:t>)</w:t>
            </w:r>
          </w:p>
          <w:p w14:paraId="571A99D2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  <w:tc>
          <w:tcPr>
            <w:tcW w:w="2354" w:type="dxa"/>
          </w:tcPr>
          <w:p w14:paraId="328BE3C2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3BAD547B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 xml:space="preserve">G2.0 Bezeichnung, </w:t>
            </w:r>
          </w:p>
          <w:p w14:paraId="038EC5B5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Anzeige in PVS: „gSMC-KT-Zertifikat nicht ECC-fähig“</w:t>
            </w:r>
          </w:p>
        </w:tc>
        <w:tc>
          <w:tcPr>
            <w:tcW w:w="1986" w:type="dxa"/>
          </w:tcPr>
          <w:p w14:paraId="17436E1F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10E46C0A" w14:textId="795D4892" w:rsidR="005611C6" w:rsidRPr="00DC7EEA" w:rsidRDefault="005611C6" w:rsidP="00E70D55">
            <w:pPr>
              <w:rPr>
                <w:rFonts w:cs="Arial"/>
                <w:b/>
                <w:bCs/>
                <w:szCs w:val="20"/>
              </w:rPr>
            </w:pPr>
            <w:r w:rsidRPr="00DC7EEA">
              <w:rPr>
                <w:rFonts w:cs="Arial"/>
                <w:b/>
                <w:bCs/>
                <w:szCs w:val="20"/>
              </w:rPr>
              <w:t>31.12.2026</w:t>
            </w:r>
            <w:r w:rsidRPr="00DC7EEA">
              <w:rPr>
                <w:rFonts w:cs="Arial"/>
                <w:b/>
                <w:bCs/>
                <w:szCs w:val="20"/>
              </w:rPr>
              <w:t>*</w:t>
            </w:r>
          </w:p>
        </w:tc>
        <w:tc>
          <w:tcPr>
            <w:tcW w:w="2463" w:type="dxa"/>
          </w:tcPr>
          <w:p w14:paraId="261167C4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  <w:p w14:paraId="04C6A386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  <w:r w:rsidRPr="004529BA">
              <w:rPr>
                <w:rFonts w:cs="Arial"/>
                <w:szCs w:val="20"/>
              </w:rPr>
              <w:t>Funktionsverlust zur Verbindung mit Konnektor, Zugriffsberechtigungen zum Lesen und Signieren für eGKs, eHBA, SMC-B</w:t>
            </w:r>
          </w:p>
          <w:p w14:paraId="537BEC93" w14:textId="77777777" w:rsidR="005611C6" w:rsidRPr="004529BA" w:rsidRDefault="005611C6" w:rsidP="00E70D55">
            <w:pPr>
              <w:rPr>
                <w:rFonts w:cs="Arial"/>
                <w:szCs w:val="20"/>
              </w:rPr>
            </w:pPr>
          </w:p>
        </w:tc>
      </w:tr>
    </w:tbl>
    <w:p w14:paraId="0C46F0AF" w14:textId="6AFD7DCB" w:rsidR="005611C6" w:rsidRPr="00123439" w:rsidRDefault="005611C6" w:rsidP="005611C6">
      <w:pPr>
        <w:rPr>
          <w:rFonts w:cs="Arial"/>
          <w:b/>
          <w:bCs/>
          <w:color w:val="006600"/>
          <w:sz w:val="22"/>
        </w:rPr>
      </w:pPr>
      <w:r w:rsidRPr="00123439">
        <w:rPr>
          <w:rFonts w:cs="Arial"/>
          <w:b/>
          <w:bCs/>
          <w:color w:val="006600"/>
          <w:sz w:val="22"/>
        </w:rPr>
        <w:t>Checkliste zum Austausch alter TI-Zertifikate</w:t>
      </w:r>
    </w:p>
    <w:p w14:paraId="188C2645" w14:textId="77777777" w:rsidR="005611C6" w:rsidRDefault="005611C6" w:rsidP="005611C6">
      <w:pPr>
        <w:rPr>
          <w:rFonts w:cs="Arial"/>
          <w:szCs w:val="20"/>
        </w:rPr>
      </w:pPr>
    </w:p>
    <w:p w14:paraId="53A4DD7D" w14:textId="77777777" w:rsidR="005611C6" w:rsidRPr="004529BA" w:rsidRDefault="005611C6" w:rsidP="005611C6">
      <w:pPr>
        <w:rPr>
          <w:rFonts w:cs="Arial"/>
          <w:szCs w:val="20"/>
        </w:rPr>
      </w:pPr>
      <w:r>
        <w:rPr>
          <w:rFonts w:cs="Arial"/>
          <w:szCs w:val="20"/>
        </w:rPr>
        <w:t>Der Austausch konzentriert sich auf TI-Komponenten der Generation G 2.0.</w:t>
      </w:r>
    </w:p>
    <w:p w14:paraId="1DC239ED" w14:textId="55AA9100" w:rsidR="000852D5" w:rsidRPr="00DC7EEA" w:rsidRDefault="005611C6">
      <w:pPr>
        <w:rPr>
          <w:b/>
          <w:bCs/>
        </w:rPr>
      </w:pPr>
      <w:r>
        <w:br/>
      </w:r>
      <w:r>
        <w:br/>
      </w:r>
      <w:r w:rsidRPr="00DC7EEA">
        <w:rPr>
          <w:b/>
          <w:bCs/>
        </w:rPr>
        <w:t xml:space="preserve">* </w:t>
      </w:r>
      <w:r w:rsidR="00DC7EEA">
        <w:rPr>
          <w:rFonts w:cs="Arial"/>
          <w:b/>
          <w:bCs/>
          <w:szCs w:val="20"/>
        </w:rPr>
        <w:t>Sollte</w:t>
      </w:r>
      <w:r w:rsidRPr="00DC7EEA">
        <w:rPr>
          <w:rFonts w:cs="Arial"/>
          <w:b/>
          <w:bCs/>
          <w:szCs w:val="20"/>
        </w:rPr>
        <w:t xml:space="preserve"> das Kartenzertifikat bereits vor dem 31.12.2026 abl</w:t>
      </w:r>
      <w:r w:rsidR="00DC7EEA">
        <w:rPr>
          <w:rFonts w:cs="Arial"/>
          <w:b/>
          <w:bCs/>
          <w:szCs w:val="20"/>
        </w:rPr>
        <w:t>aufen</w:t>
      </w:r>
      <w:r w:rsidRPr="00DC7EEA">
        <w:rPr>
          <w:rFonts w:cs="Arial"/>
          <w:b/>
          <w:bCs/>
          <w:szCs w:val="20"/>
        </w:rPr>
        <w:t>, ist</w:t>
      </w:r>
      <w:r w:rsidRPr="00DC7EEA">
        <w:rPr>
          <w:rFonts w:cs="Arial"/>
          <w:b/>
          <w:bCs/>
          <w:szCs w:val="20"/>
        </w:rPr>
        <w:t xml:space="preserve"> vor diesem Datum ein </w:t>
      </w:r>
      <w:r w:rsidR="00DC7EEA">
        <w:rPr>
          <w:rFonts w:cs="Arial"/>
          <w:b/>
          <w:bCs/>
          <w:szCs w:val="20"/>
        </w:rPr>
        <w:br/>
        <w:t xml:space="preserve">   </w:t>
      </w:r>
      <w:r w:rsidRPr="00DC7EEA">
        <w:rPr>
          <w:rFonts w:cs="Arial"/>
          <w:b/>
          <w:bCs/>
          <w:szCs w:val="20"/>
        </w:rPr>
        <w:t>Austausch</w:t>
      </w:r>
      <w:r w:rsidRPr="00DC7EEA">
        <w:rPr>
          <w:rFonts w:cs="Arial"/>
          <w:b/>
          <w:bCs/>
          <w:szCs w:val="20"/>
        </w:rPr>
        <w:t xml:space="preserve"> </w:t>
      </w:r>
      <w:r w:rsidRPr="00DC7EEA">
        <w:rPr>
          <w:rFonts w:cs="Arial"/>
          <w:b/>
          <w:bCs/>
          <w:szCs w:val="20"/>
        </w:rPr>
        <w:t>erforderlich</w:t>
      </w:r>
      <w:r w:rsidRPr="00DC7EEA">
        <w:rPr>
          <w:rFonts w:cs="Arial"/>
          <w:b/>
          <w:bCs/>
          <w:szCs w:val="20"/>
        </w:rPr>
        <w:t>.</w:t>
      </w:r>
    </w:p>
    <w:sectPr w:rsidR="000852D5" w:rsidRPr="00DC7E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C6"/>
    <w:rsid w:val="000852D5"/>
    <w:rsid w:val="005611C6"/>
    <w:rsid w:val="00857B2E"/>
    <w:rsid w:val="00B21E23"/>
    <w:rsid w:val="00DC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50DF"/>
  <w15:chartTrackingRefBased/>
  <w15:docId w15:val="{F32CC5E9-D134-4CB0-B8B2-DBC2B49D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11C6"/>
    <w:pPr>
      <w:spacing w:after="0" w:line="259" w:lineRule="auto"/>
    </w:pPr>
    <w:rPr>
      <w:rFonts w:cstheme="minorBidi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1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611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611C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611C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611C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611C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611C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611C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611C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61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611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611C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611C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611C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611C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611C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611C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611C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611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1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611C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611C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611C6"/>
    <w:pPr>
      <w:spacing w:before="160" w:after="160" w:line="278" w:lineRule="auto"/>
      <w:jc w:val="center"/>
    </w:pPr>
    <w:rPr>
      <w:rFonts w:cs="Arial"/>
      <w:i/>
      <w:iCs/>
      <w:color w:val="404040" w:themeColor="text1" w:themeTint="BF"/>
      <w:szCs w:val="20"/>
    </w:rPr>
  </w:style>
  <w:style w:type="character" w:customStyle="1" w:styleId="ZitatZchn">
    <w:name w:val="Zitat Zchn"/>
    <w:basedOn w:val="Absatz-Standardschriftart"/>
    <w:link w:val="Zitat"/>
    <w:uiPriority w:val="29"/>
    <w:rsid w:val="005611C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611C6"/>
    <w:pPr>
      <w:spacing w:after="160" w:line="278" w:lineRule="auto"/>
      <w:ind w:left="720"/>
      <w:contextualSpacing/>
    </w:pPr>
    <w:rPr>
      <w:rFonts w:cs="Arial"/>
      <w:szCs w:val="20"/>
    </w:rPr>
  </w:style>
  <w:style w:type="character" w:styleId="IntensiveHervorhebung">
    <w:name w:val="Intense Emphasis"/>
    <w:basedOn w:val="Absatz-Standardschriftart"/>
    <w:uiPriority w:val="21"/>
    <w:qFormat/>
    <w:rsid w:val="005611C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61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="Arial"/>
      <w:i/>
      <w:iCs/>
      <w:color w:val="0F4761" w:themeColor="accent1" w:themeShade="BF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611C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611C6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5611C6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Kottwitz, Susanne - KZVS</dc:creator>
  <cp:keywords/>
  <dc:description/>
  <cp:lastModifiedBy>Kottwitz, Susanne - KZVS</cp:lastModifiedBy>
  <cp:revision>2</cp:revision>
  <dcterms:created xsi:type="dcterms:W3CDTF">2026-06-29T06:05:00Z</dcterms:created>
  <dcterms:modified xsi:type="dcterms:W3CDTF">2026-06-29T06:23:00Z</dcterms:modified>
</cp:coreProperties>
</file>